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059E" w14:textId="77777777" w:rsidR="009E4A2A" w:rsidRDefault="009E4A2A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70"/>
        <w:gridCol w:w="6090"/>
      </w:tblGrid>
      <w:tr w:rsidR="009E4A2A" w14:paraId="014762C2" w14:textId="77777777">
        <w:trPr>
          <w:trHeight w:val="420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7DDB" w14:textId="77777777" w:rsidR="009E4A2A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Lesson Name Here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ECFC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to Evoke Emotion</w:t>
            </w:r>
          </w:p>
        </w:tc>
      </w:tr>
      <w:tr w:rsidR="009E4A2A" w14:paraId="07438763" w14:textId="77777777">
        <w:trPr>
          <w:trHeight w:val="420"/>
        </w:trPr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44C79" w14:textId="77777777" w:rsidR="009E4A2A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Grades and Contents: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86EF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 Art, Science or Computer Science</w:t>
            </w:r>
          </w:p>
        </w:tc>
      </w:tr>
      <w:tr w:rsidR="009E4A2A" w14:paraId="13229303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82E8" w14:textId="77777777" w:rsidR="009E4A2A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Topic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E2FC" w14:textId="77777777" w:rsidR="009E4A2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Humanity’s Ecological Impact</w:t>
            </w:r>
          </w:p>
          <w:p w14:paraId="11A7BC2F" w14:textId="77777777" w:rsidR="009E4A2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to Express Social Distress</w:t>
            </w:r>
          </w:p>
          <w:p w14:paraId="6AEB1A5C" w14:textId="77777777" w:rsidR="009E4A2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Photography’s Impact on Change</w:t>
            </w:r>
          </w:p>
          <w:p w14:paraId="585F199B" w14:textId="77777777" w:rsidR="009E4A2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Propaganda</w:t>
            </w:r>
          </w:p>
          <w:p w14:paraId="53663596" w14:textId="77777777" w:rsidR="009E4A2A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Applications for Artistic Expression</w:t>
            </w:r>
          </w:p>
        </w:tc>
      </w:tr>
      <w:tr w:rsidR="009E4A2A" w14:paraId="6555D7F9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9390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Enduring Understanding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BB01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and Computer - created Art can be used to promote a specific type of propaganda</w:t>
            </w:r>
          </w:p>
        </w:tc>
      </w:tr>
      <w:tr w:rsidR="009E4A2A" w14:paraId="4B9CCF19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57A8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Primary Standards/Indicators</w:t>
            </w:r>
          </w:p>
        </w:tc>
        <w:tc>
          <w:tcPr>
            <w:tcW w:w="6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8699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14:paraId="0D2E68C3" w14:textId="77777777" w:rsidR="009E4A2A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HS-LS2-7 - </w:t>
            </w:r>
            <w:r>
              <w:rPr>
                <w:color w:val="333333"/>
                <w:sz w:val="24"/>
                <w:szCs w:val="24"/>
              </w:rPr>
              <w:t>Design, evaluate, and refine a solution for reducing the impacts of human activities on the environment and biodiversity.</w:t>
            </w:r>
          </w:p>
          <w:p w14:paraId="4875B7C3" w14:textId="77777777" w:rsidR="009E4A2A" w:rsidRDefault="009E4A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7179326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Sciences</w:t>
            </w:r>
          </w:p>
          <w:p w14:paraId="0E74F472" w14:textId="77777777" w:rsidR="009E4A2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3A-DA-11 - </w:t>
            </w:r>
            <w:r>
              <w:rPr>
                <w:sz w:val="24"/>
                <w:szCs w:val="24"/>
              </w:rPr>
              <w:t>Create interactive data visualizations using software tools to help others better understand real-world phenomena.</w:t>
            </w:r>
          </w:p>
          <w:p w14:paraId="37D27283" w14:textId="77777777" w:rsidR="009E4A2A" w:rsidRDefault="009E4A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F7FCECE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</w:t>
            </w:r>
          </w:p>
          <w:p w14:paraId="052D65B1" w14:textId="77777777" w:rsidR="009E4A2A" w:rsidRDefault="00000000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</w:t>
            </w:r>
          </w:p>
          <w:p w14:paraId="39A2FB43" w14:textId="77777777" w:rsidR="009E4A2A" w:rsidRDefault="00000000">
            <w:pPr>
              <w:widowControl w:val="0"/>
              <w:numPr>
                <w:ilvl w:val="1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Anchor Standard #2. Organize and develop artistic ideas and work.</w:t>
            </w:r>
          </w:p>
          <w:p w14:paraId="3C8E0983" w14:textId="77777777" w:rsidR="009E4A2A" w:rsidRDefault="00000000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Performing/Presenting/Producing </w:t>
            </w:r>
          </w:p>
          <w:p w14:paraId="300FCE11" w14:textId="77777777" w:rsidR="009E4A2A" w:rsidRDefault="00000000">
            <w:pPr>
              <w:widowControl w:val="0"/>
              <w:numPr>
                <w:ilvl w:val="1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Anchor Standard #5. Develop and refine artistic techniques and work for presentation.</w:t>
            </w:r>
          </w:p>
          <w:p w14:paraId="69613618" w14:textId="77777777" w:rsidR="009E4A2A" w:rsidRDefault="00000000">
            <w:pPr>
              <w:widowControl w:val="0"/>
              <w:numPr>
                <w:ilvl w:val="1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Anchor Standard #6. Convey meaning through the presentation of artistic work.</w:t>
            </w:r>
          </w:p>
          <w:p w14:paraId="51652157" w14:textId="77777777" w:rsidR="009E4A2A" w:rsidRDefault="00000000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Responding</w:t>
            </w:r>
          </w:p>
          <w:p w14:paraId="2FBCF2A7" w14:textId="77777777" w:rsidR="009E4A2A" w:rsidRDefault="00000000">
            <w:pPr>
              <w:widowControl w:val="0"/>
              <w:numPr>
                <w:ilvl w:val="1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Anchor Standard #7. Perceive and analyze artistic work.</w:t>
            </w:r>
          </w:p>
          <w:p w14:paraId="7EB5C7A8" w14:textId="77777777" w:rsidR="009E4A2A" w:rsidRDefault="00000000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Connecting</w:t>
            </w:r>
          </w:p>
          <w:p w14:paraId="1EB973D1" w14:textId="77777777" w:rsidR="009E4A2A" w:rsidRDefault="00000000">
            <w:pPr>
              <w:widowControl w:val="0"/>
              <w:numPr>
                <w:ilvl w:val="1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Anchor Standard #10. Synthesize and relate knowledge and personal experiences to make art.</w:t>
            </w:r>
          </w:p>
        </w:tc>
      </w:tr>
      <w:tr w:rsidR="009E4A2A" w14:paraId="47043CFE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D86F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Secondary Standards/Indicators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F8CE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</w:t>
            </w:r>
          </w:p>
          <w:p w14:paraId="138DF8EA" w14:textId="77777777" w:rsidR="009E4A2A" w:rsidRDefault="00000000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373737"/>
                  <w:sz w:val="24"/>
                  <w:szCs w:val="24"/>
                </w:rPr>
                <w:t>CCSS.ELA-LITERACY.CCRA.SL.2</w:t>
              </w:r>
            </w:hyperlink>
            <w:r>
              <w:rPr>
                <w:color w:val="202020"/>
                <w:sz w:val="24"/>
                <w:szCs w:val="24"/>
              </w:rPr>
              <w:t xml:space="preserve"> -</w:t>
            </w:r>
            <w:r>
              <w:rPr>
                <w:color w:val="202020"/>
                <w:sz w:val="25"/>
                <w:szCs w:val="25"/>
              </w:rPr>
              <w:t xml:space="preserve">Integrate and evaluate information presented in diverse </w:t>
            </w:r>
            <w:r>
              <w:rPr>
                <w:color w:val="202020"/>
                <w:sz w:val="25"/>
                <w:szCs w:val="25"/>
              </w:rPr>
              <w:lastRenderedPageBreak/>
              <w:t>media and formats, including visually, quantitatively, and orally.</w:t>
            </w:r>
          </w:p>
          <w:p w14:paraId="4892E912" w14:textId="77777777" w:rsidR="009E4A2A" w:rsidRDefault="00000000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color w:val="202020"/>
                <w:sz w:val="25"/>
                <w:szCs w:val="25"/>
              </w:rPr>
            </w:pPr>
            <w:hyperlink r:id="rId6">
              <w:r>
                <w:rPr>
                  <w:color w:val="373737"/>
                  <w:sz w:val="24"/>
                  <w:szCs w:val="24"/>
                </w:rPr>
                <w:t>CCSS.ELA-LITERACY.CCRA.SL.4</w:t>
              </w:r>
            </w:hyperlink>
            <w:r>
              <w:rPr>
                <w:color w:val="202020"/>
                <w:sz w:val="25"/>
                <w:szCs w:val="25"/>
              </w:rPr>
              <w:t xml:space="preserve"> - Present information, findings, and supporting evidence such that listeners can follow the line of reasoning and the organization, development, and style are appropriate to task, purpose, and audience.</w:t>
            </w:r>
          </w:p>
        </w:tc>
      </w:tr>
      <w:tr w:rsidR="009E4A2A" w14:paraId="37596A4E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4B3DE" w14:textId="77777777" w:rsidR="009E4A2A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Objective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0C17" w14:textId="77777777" w:rsidR="009E4A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regard propaganda as an art form by creating their own propaganda from the drone footage. </w:t>
            </w:r>
          </w:p>
          <w:p w14:paraId="3DFD89ED" w14:textId="77777777" w:rsidR="009E4A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use a web app or software application that allows for the creation of a propaganda poster.</w:t>
            </w:r>
          </w:p>
          <w:p w14:paraId="42A10C15" w14:textId="77777777" w:rsidR="009E4A2A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use artistic and scientific lenses in crafting their propaganda.</w:t>
            </w:r>
          </w:p>
        </w:tc>
      </w:tr>
      <w:tr w:rsidR="009E4A2A" w14:paraId="77AA5A89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02A8" w14:textId="77777777" w:rsidR="009E4A2A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Academic Language</w:t>
            </w:r>
          </w:p>
          <w:p w14:paraId="2482DC72" w14:textId="77777777" w:rsidR="009E4A2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  <w:p w14:paraId="4B4FCD2B" w14:textId="77777777" w:rsidR="009E4A2A" w:rsidRDefault="009E4A2A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B699" w14:textId="77777777" w:rsidR="009E4A2A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Choice</w:t>
            </w:r>
          </w:p>
          <w:p w14:paraId="4B2FEC77" w14:textId="77777777" w:rsidR="009E4A2A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</w:t>
            </w:r>
          </w:p>
          <w:p w14:paraId="088F65C1" w14:textId="77777777" w:rsidR="009E4A2A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Serif/ Sans Serif</w:t>
            </w:r>
          </w:p>
          <w:p w14:paraId="003F4C66" w14:textId="77777777" w:rsidR="009E4A2A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of View</w:t>
            </w:r>
          </w:p>
          <w:p w14:paraId="176289C6" w14:textId="77777777" w:rsidR="009E4A2A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Negative/Positive Space</w:t>
            </w:r>
          </w:p>
          <w:p w14:paraId="3A4C248F" w14:textId="77777777" w:rsidR="009E4A2A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Mood</w:t>
            </w:r>
          </w:p>
          <w:p w14:paraId="16234991" w14:textId="77777777" w:rsidR="009E4A2A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Contrast</w:t>
            </w:r>
          </w:p>
          <w:p w14:paraId="62C9ED88" w14:textId="77777777" w:rsidR="009E4A2A" w:rsidRDefault="00000000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</w:p>
        </w:tc>
      </w:tr>
      <w:tr w:rsidR="009E4A2A" w14:paraId="2359CAEE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3BB2" w14:textId="77777777" w:rsidR="009E4A2A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Assessment Plan</w:t>
            </w:r>
          </w:p>
          <w:p w14:paraId="4FDEF44E" w14:textId="77777777" w:rsidR="009E4A2A" w:rsidRDefault="009E4A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299B" w14:textId="77777777" w:rsidR="009E4A2A" w:rsidRDefault="0000000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Pre-Assessment- </w:t>
            </w:r>
          </w:p>
          <w:p w14:paraId="72FBEDE8" w14:textId="77777777" w:rsidR="009E4A2A" w:rsidRDefault="00000000">
            <w:pPr>
              <w:numPr>
                <w:ilvl w:val="1"/>
                <w:numId w:val="7"/>
              </w:numPr>
              <w:rPr>
                <w:b/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Short survey: Which image conveys an idea best?</w:t>
              </w:r>
            </w:hyperlink>
          </w:p>
          <w:p w14:paraId="45E2CBE0" w14:textId="77777777" w:rsidR="009E4A2A" w:rsidRDefault="00000000">
            <w:pPr>
              <w:numPr>
                <w:ilvl w:val="1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Post-Assessment- Completed Poster Gallery Walk</w:t>
            </w:r>
          </w:p>
          <w:p w14:paraId="28B42E1D" w14:textId="77777777" w:rsidR="009E4A2A" w:rsidRDefault="0000000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Criteria for Mastery- Artistically explain the story of </w:t>
            </w:r>
            <w:proofErr w:type="spellStart"/>
            <w:proofErr w:type="gramStart"/>
            <w:r>
              <w:rPr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Emotional Poster</w:t>
            </w:r>
          </w:p>
        </w:tc>
      </w:tr>
      <w:tr w:rsidR="009E4A2A" w14:paraId="3317279F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CF5F" w14:textId="77777777" w:rsidR="009E4A2A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Materials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5137" w14:textId="77777777" w:rsidR="009E4A2A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Pre-assessment short survey</w:t>
              </w:r>
            </w:hyperlink>
          </w:p>
          <w:p w14:paraId="3B72A5CA" w14:textId="77777777" w:rsidR="009E4A2A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 xml:space="preserve">Is this Water Safe Google Slideshow Presentation </w:t>
              </w:r>
            </w:hyperlink>
            <w:r>
              <w:rPr>
                <w:sz w:val="24"/>
                <w:szCs w:val="24"/>
                <w:highlight w:val="yellow"/>
              </w:rPr>
              <w:t>(starts on slide 52!)</w:t>
            </w:r>
          </w:p>
          <w:p w14:paraId="384F0522" w14:textId="77777777" w:rsidR="009E4A2A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Stem Center Lesson 3 Website for Tiffany Silverman Video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(Telling the Verbal and Visual Story VIDEO)</w:t>
            </w:r>
          </w:p>
          <w:p w14:paraId="4A84BF85" w14:textId="77777777" w:rsidR="009E4A2A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Google Drawing Basics Link</w:t>
              </w:r>
            </w:hyperlink>
            <w:r>
              <w:rPr>
                <w:sz w:val="24"/>
                <w:szCs w:val="24"/>
              </w:rPr>
              <w:t xml:space="preserve"> (no guided notes provided)</w:t>
            </w:r>
          </w:p>
          <w:p w14:paraId="61B426CF" w14:textId="77777777" w:rsidR="009E4A2A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Telling the Verbal and Visual Story Guided Notes</w:t>
              </w:r>
            </w:hyperlink>
          </w:p>
          <w:p w14:paraId="5741B6B4" w14:textId="77777777" w:rsidR="009E4A2A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hyperlink r:id="rId13">
              <w:r>
                <w:rPr>
                  <w:color w:val="1155CC"/>
                  <w:sz w:val="24"/>
                  <w:szCs w:val="24"/>
                  <w:u w:val="single"/>
                </w:rPr>
                <w:t>Folder of 100 Waterway Drone Photos for Usage on Poster</w:t>
              </w:r>
            </w:hyperlink>
          </w:p>
          <w:p w14:paraId="0F0AF9A0" w14:textId="77777777" w:rsidR="009E4A2A" w:rsidRDefault="009E4A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4A2A" w14:paraId="5DA2EAA2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D6F4" w14:textId="77777777" w:rsidR="009E4A2A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Teacher Preparation</w:t>
            </w:r>
          </w:p>
          <w:p w14:paraId="36DE2077" w14:textId="77777777" w:rsidR="009E4A2A" w:rsidRDefault="009E4A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3633" w14:textId="77777777" w:rsidR="009E4A2A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hyperlink r:id="rId14">
              <w:r>
                <w:rPr>
                  <w:color w:val="1155CC"/>
                  <w:sz w:val="24"/>
                  <w:szCs w:val="24"/>
                  <w:u w:val="single"/>
                </w:rPr>
                <w:t xml:space="preserve">Is this Water Safe Google Slideshow Presentation </w:t>
              </w:r>
            </w:hyperlink>
            <w:r>
              <w:rPr>
                <w:sz w:val="24"/>
                <w:szCs w:val="24"/>
                <w:highlight w:val="yellow"/>
              </w:rPr>
              <w:t>(starts on slide 52!)</w:t>
            </w:r>
          </w:p>
          <w:p w14:paraId="717BE225" w14:textId="77777777" w:rsidR="009E4A2A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Tiffany Silverman Video and guided notes from the stem center website </w:t>
            </w:r>
            <w:hyperlink r:id="rId15">
              <w:r>
                <w:rPr>
                  <w:color w:val="1155CC"/>
                  <w:sz w:val="24"/>
                  <w:szCs w:val="24"/>
                  <w:u w:val="single"/>
                </w:rPr>
                <w:t>Stem Center Lesson 3 Website for Tiffany Silverman Video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(Telling the Verbal and Visual Story VIDEO)</w:t>
            </w:r>
          </w:p>
          <w:p w14:paraId="389F984F" w14:textId="77777777" w:rsidR="009E4A2A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familiar with Google draw OR an online poster creator like </w:t>
            </w:r>
            <w:proofErr w:type="spellStart"/>
            <w:r>
              <w:rPr>
                <w:sz w:val="24"/>
                <w:szCs w:val="24"/>
              </w:rPr>
              <w:t>canva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E4A2A" w14:paraId="4D6515B2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442F" w14:textId="77777777" w:rsidR="009E4A2A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Lesson Sequence</w:t>
            </w:r>
          </w:p>
          <w:p w14:paraId="6114982A" w14:textId="77777777" w:rsidR="009E4A2A" w:rsidRDefault="009E4A2A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5BF8" w14:textId="77777777" w:rsidR="009E4A2A" w:rsidRDefault="00000000">
            <w:pPr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Hook</w:t>
            </w:r>
          </w:p>
          <w:p w14:paraId="1DBB3BB2" w14:textId="77777777" w:rsidR="009E4A2A" w:rsidRDefault="000000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development of the plotline in lessons 1 and 2 of the story </w:t>
            </w:r>
            <w:proofErr w:type="gramStart"/>
            <w:r>
              <w:rPr>
                <w:sz w:val="24"/>
                <w:szCs w:val="24"/>
              </w:rPr>
              <w:t>about</w:t>
            </w:r>
            <w:proofErr w:type="gramEnd"/>
            <w:r>
              <w:rPr>
                <w:sz w:val="24"/>
                <w:szCs w:val="24"/>
              </w:rPr>
              <w:t xml:space="preserve"> a vacation to a campsite that has garbage. The parents decide to stay at this camp, but they inquire that you make a poster to put on the camp’s bulletin board about cleaning up trash.</w:t>
            </w:r>
          </w:p>
          <w:p w14:paraId="32EDE638" w14:textId="77777777" w:rsidR="009E4A2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(Slides 52-55)</w:t>
            </w:r>
          </w:p>
          <w:p w14:paraId="6BA5C1EA" w14:textId="77777777" w:rsidR="009E4A2A" w:rsidRDefault="00000000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Brainstorm</w:t>
            </w:r>
          </w:p>
          <w:p w14:paraId="510D2A77" w14:textId="77777777" w:rsidR="009E4A2A" w:rsidRDefault="00000000">
            <w:pPr>
              <w:numPr>
                <w:ilvl w:val="1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To get in the mindset of being artistic and convincing, students will take a Google Survey with a peer noticing what images, taken for the company JetBlue, are trying to say about the company itself.</w:t>
            </w:r>
          </w:p>
          <w:p w14:paraId="0122E5D6" w14:textId="77777777" w:rsidR="009E4A2A" w:rsidRDefault="00000000">
            <w:pPr>
              <w:numPr>
                <w:ilvl w:val="1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over the survey results and listen to 4 to 6 answers in between the 5 slides for this activity.</w:t>
            </w:r>
          </w:p>
          <w:p w14:paraId="32D7E49C" w14:textId="77777777" w:rsidR="009E4A2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(Slides 56-61)</w:t>
            </w:r>
          </w:p>
          <w:p w14:paraId="1F6A1269" w14:textId="77777777" w:rsidR="009E4A2A" w:rsidRDefault="00000000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Prototype</w:t>
            </w:r>
          </w:p>
          <w:p w14:paraId="43510E0A" w14:textId="77777777" w:rsidR="009E4A2A" w:rsidRDefault="00000000">
            <w:pPr>
              <w:numPr>
                <w:ilvl w:val="1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remind themselves of what </w:t>
            </w:r>
            <w:proofErr w:type="gramStart"/>
            <w:r>
              <w:rPr>
                <w:sz w:val="24"/>
                <w:szCs w:val="24"/>
              </w:rPr>
              <w:t>makes</w:t>
            </w:r>
            <w:proofErr w:type="gramEnd"/>
            <w:r>
              <w:rPr>
                <w:sz w:val="24"/>
                <w:szCs w:val="24"/>
              </w:rPr>
              <w:t xml:space="preserve"> a good photo using guided questions from the Google Slides presentation.</w:t>
            </w:r>
          </w:p>
          <w:p w14:paraId="17946732" w14:textId="77777777" w:rsidR="009E4A2A" w:rsidRDefault="00000000">
            <w:pPr>
              <w:numPr>
                <w:ilvl w:val="1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take </w:t>
            </w:r>
            <w:hyperlink r:id="rId16">
              <w:r>
                <w:rPr>
                  <w:color w:val="1155CC"/>
                  <w:sz w:val="24"/>
                  <w:szCs w:val="24"/>
                  <w:u w:val="single"/>
                </w:rPr>
                <w:t>guided notes</w:t>
              </w:r>
            </w:hyperlink>
            <w:r>
              <w:rPr>
                <w:sz w:val="24"/>
                <w:szCs w:val="24"/>
              </w:rPr>
              <w:t xml:space="preserve"> on how photos can tell a story and how graphic design plays an important piece of marketing.</w:t>
            </w:r>
          </w:p>
          <w:p w14:paraId="3347A4F5" w14:textId="77777777" w:rsidR="009E4A2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(Slides 62 to 67 &amp; </w:t>
            </w:r>
            <w:hyperlink r:id="rId17">
              <w:r>
                <w:rPr>
                  <w:color w:val="1155CC"/>
                  <w:sz w:val="24"/>
                  <w:szCs w:val="24"/>
                  <w:u w:val="single"/>
                </w:rPr>
                <w:t>Stem Center Lesson 3 Website for Tiffany Silverman Video</w:t>
              </w:r>
            </w:hyperlink>
            <w:r>
              <w:rPr>
                <w:sz w:val="24"/>
                <w:szCs w:val="24"/>
              </w:rPr>
              <w:t>)</w:t>
            </w:r>
          </w:p>
          <w:p w14:paraId="5E9022E5" w14:textId="77777777" w:rsidR="009E4A2A" w:rsidRDefault="00000000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Share</w:t>
            </w:r>
          </w:p>
          <w:p w14:paraId="5A978780" w14:textId="77777777" w:rsidR="009E4A2A" w:rsidRDefault="00000000">
            <w:pPr>
              <w:numPr>
                <w:ilvl w:val="1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use Google Draw or another online poster creation app to create an artistic poster using one of the </w:t>
            </w:r>
            <w:hyperlink r:id="rId18">
              <w:r>
                <w:rPr>
                  <w:color w:val="1155CC"/>
                  <w:sz w:val="24"/>
                  <w:szCs w:val="24"/>
                  <w:u w:val="single"/>
                </w:rPr>
                <w:t>photos</w:t>
              </w:r>
            </w:hyperlink>
            <w:r>
              <w:rPr>
                <w:sz w:val="24"/>
                <w:szCs w:val="24"/>
              </w:rPr>
              <w:t xml:space="preserve"> taken from the drone footage from the parents' discoveries about the vacation campsite.</w:t>
            </w:r>
          </w:p>
          <w:p w14:paraId="02363150" w14:textId="77777777" w:rsidR="009E4A2A" w:rsidRDefault="00000000">
            <w:pPr>
              <w:numPr>
                <w:ilvl w:val="1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will employ the “Telling a Visual Story</w:t>
            </w:r>
            <w:proofErr w:type="gramStart"/>
            <w:r>
              <w:rPr>
                <w:sz w:val="24"/>
                <w:szCs w:val="24"/>
              </w:rPr>
              <w:t>” ideas</w:t>
            </w:r>
            <w:proofErr w:type="gramEnd"/>
            <w:r>
              <w:rPr>
                <w:sz w:val="24"/>
                <w:szCs w:val="24"/>
              </w:rPr>
              <w:t xml:space="preserve"> from Tiffany Silverman’s Video.</w:t>
            </w:r>
          </w:p>
          <w:p w14:paraId="740E8E8B" w14:textId="77777777" w:rsidR="009E4A2A" w:rsidRDefault="00000000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Synthesize</w:t>
            </w:r>
          </w:p>
          <w:p w14:paraId="6D7F6B73" w14:textId="77777777" w:rsidR="009E4A2A" w:rsidRDefault="00000000">
            <w:pPr>
              <w:numPr>
                <w:ilvl w:val="1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share their posters with the class and vote for the best one but explain their reasoning using the language from their guided notes about artistic elements of graphic </w:t>
            </w:r>
            <w:proofErr w:type="gramStart"/>
            <w:r>
              <w:rPr>
                <w:sz w:val="24"/>
                <w:szCs w:val="24"/>
              </w:rPr>
              <w:t>design</w:t>
            </w:r>
            <w:proofErr w:type="gramEnd"/>
          </w:p>
          <w:p w14:paraId="4C49FC69" w14:textId="77777777" w:rsidR="009E4A2A" w:rsidRDefault="00000000">
            <w:pPr>
              <w:numPr>
                <w:ilvl w:val="1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presenting, students will reflect on the project via prompts</w:t>
            </w:r>
          </w:p>
        </w:tc>
      </w:tr>
      <w:tr w:rsidR="009E4A2A" w14:paraId="7066701B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276E" w14:textId="77777777" w:rsidR="009E4A2A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Student Learning Accommodations</w:t>
            </w:r>
          </w:p>
          <w:p w14:paraId="663B71AA" w14:textId="77777777" w:rsidR="009E4A2A" w:rsidRDefault="009E4A2A">
            <w:pPr>
              <w:rPr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6445" w14:textId="77777777" w:rsidR="009E4A2A" w:rsidRDefault="00000000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ELs</w:t>
            </w:r>
            <w:r>
              <w:rPr>
                <w:sz w:val="24"/>
                <w:szCs w:val="24"/>
              </w:rPr>
              <w:t>- Google Draw can translate items in their own language, and images should be used to tell the story.</w:t>
            </w:r>
          </w:p>
          <w:p w14:paraId="1F0778EB" w14:textId="77777777" w:rsidR="009E4A2A" w:rsidRDefault="00000000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Grade Level adaptations</w:t>
            </w:r>
            <w:r>
              <w:rPr>
                <w:sz w:val="24"/>
                <w:szCs w:val="24"/>
              </w:rPr>
              <w:t xml:space="preserve">- </w:t>
            </w:r>
          </w:p>
          <w:p w14:paraId="7CB69EA4" w14:textId="77777777" w:rsidR="009E4A2A" w:rsidRDefault="00000000">
            <w:pPr>
              <w:numPr>
                <w:ilvl w:val="1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google draw basic video should not be used for students who already know how to use it.</w:t>
            </w:r>
          </w:p>
          <w:p w14:paraId="04F10087" w14:textId="77777777" w:rsidR="009E4A2A" w:rsidRDefault="00000000">
            <w:pPr>
              <w:numPr>
                <w:ilvl w:val="1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younger middle school students could work together to make a poster and explain it to the class without the voting factor to ease the pressure.</w:t>
            </w:r>
          </w:p>
          <w:p w14:paraId="2CADF3C4" w14:textId="77777777" w:rsidR="009E4A2A" w:rsidRDefault="00000000">
            <w:pPr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Advanced students</w:t>
            </w:r>
            <w:r>
              <w:rPr>
                <w:sz w:val="24"/>
                <w:szCs w:val="24"/>
              </w:rPr>
              <w:t xml:space="preserve">- </w:t>
            </w:r>
          </w:p>
          <w:p w14:paraId="286D6CF0" w14:textId="77777777" w:rsidR="009E4A2A" w:rsidRDefault="00000000">
            <w:pPr>
              <w:numPr>
                <w:ilvl w:val="1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google draw basic video should not be used for students who already know how to use it.</w:t>
            </w:r>
          </w:p>
          <w:p w14:paraId="08F8F8A6" w14:textId="77777777" w:rsidR="009E4A2A" w:rsidRDefault="00000000">
            <w:pPr>
              <w:numPr>
                <w:ilvl w:val="1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competition could be incentivized by telling the students that it could be featured on the morning announcements or sent to a campsite itself.</w:t>
            </w:r>
          </w:p>
          <w:p w14:paraId="5267BA64" w14:textId="77777777" w:rsidR="009E4A2A" w:rsidRDefault="0000000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Additional supports</w:t>
            </w:r>
            <w:r>
              <w:rPr>
                <w:sz w:val="24"/>
                <w:szCs w:val="24"/>
              </w:rPr>
              <w:t>- As needed.</w:t>
            </w:r>
          </w:p>
        </w:tc>
      </w:tr>
      <w:tr w:rsidR="009E4A2A" w14:paraId="2D8933E0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BD96" w14:textId="77777777" w:rsidR="009E4A2A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Discussion Guides</w:t>
            </w:r>
          </w:p>
          <w:p w14:paraId="6960EE0B" w14:textId="77777777" w:rsidR="009E4A2A" w:rsidRDefault="0000000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Hook</w:t>
            </w:r>
          </w:p>
          <w:p w14:paraId="469911EF" w14:textId="77777777" w:rsidR="009E4A2A" w:rsidRDefault="00000000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Synthesis- 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D3EA" w14:textId="77777777" w:rsidR="009E4A2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Hook: What strong ideas would you want the world to know about the Ecological Impact of humanity?</w:t>
            </w:r>
          </w:p>
          <w:p w14:paraId="533BACE5" w14:textId="77777777" w:rsidR="009E4A2A" w:rsidRDefault="009E4A2A">
            <w:pPr>
              <w:rPr>
                <w:sz w:val="24"/>
                <w:szCs w:val="24"/>
              </w:rPr>
            </w:pPr>
          </w:p>
          <w:p w14:paraId="3364B4D1" w14:textId="77777777" w:rsidR="009E4A2A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Prototype: </w:t>
            </w:r>
          </w:p>
          <w:p w14:paraId="397997C8" w14:textId="77777777" w:rsidR="009E4A2A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importance of the artistic element of color, or value and light in an image for meaning? Compare the images to help you.</w:t>
            </w:r>
          </w:p>
          <w:p w14:paraId="08C0B60A" w14:textId="77777777" w:rsidR="009E4A2A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importance of the artistic element of Lines or shape in an image for meaning?</w:t>
            </w:r>
          </w:p>
          <w:p w14:paraId="64146410" w14:textId="77777777" w:rsidR="009E4A2A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importance of the artistic element of perspective and space in an image for meaning? </w:t>
            </w:r>
          </w:p>
          <w:p w14:paraId="7D4FB01F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Share: During this section teachers should around and ask these kinds of questions</w:t>
            </w:r>
          </w:p>
          <w:p w14:paraId="75248E31" w14:textId="77777777" w:rsidR="009E4A2A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you choose this color?</w:t>
            </w:r>
          </w:p>
          <w:p w14:paraId="166FF49A" w14:textId="77777777" w:rsidR="009E4A2A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significance behind this image and the message you are trying to send?</w:t>
            </w:r>
          </w:p>
          <w:p w14:paraId="600762BA" w14:textId="77777777" w:rsidR="009E4A2A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techniques are you using from our notes?</w:t>
            </w:r>
          </w:p>
          <w:p w14:paraId="16636EE9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Synthesize:</w:t>
            </w:r>
          </w:p>
          <w:p w14:paraId="7FA2A55A" w14:textId="77777777" w:rsidR="009E4A2A" w:rsidRDefault="0000000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goal for this poster ecologically?</w:t>
            </w:r>
          </w:p>
          <w:p w14:paraId="1DAE5D31" w14:textId="77777777" w:rsidR="009E4A2A" w:rsidRDefault="0000000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kinds of change can occur because of human awareness?</w:t>
            </w:r>
          </w:p>
          <w:p w14:paraId="4539DF11" w14:textId="77777777" w:rsidR="009E4A2A" w:rsidRDefault="0000000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or what will </w:t>
            </w:r>
            <w:proofErr w:type="gramStart"/>
            <w:r>
              <w:rPr>
                <w:sz w:val="24"/>
                <w:szCs w:val="24"/>
              </w:rPr>
              <w:t>benefit  from</w:t>
            </w:r>
            <w:proofErr w:type="gramEnd"/>
            <w:r>
              <w:rPr>
                <w:sz w:val="24"/>
                <w:szCs w:val="24"/>
              </w:rPr>
              <w:t xml:space="preserve"> the emotional poster?</w:t>
            </w:r>
          </w:p>
          <w:p w14:paraId="582F66D7" w14:textId="77777777" w:rsidR="009E4A2A" w:rsidRDefault="009E4A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E4A2A" w14:paraId="1B8784FA" w14:textId="77777777"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F630" w14:textId="77777777" w:rsidR="009E4A2A" w:rsidRDefault="0000000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More to Explore (Resources)</w:t>
            </w:r>
          </w:p>
          <w:p w14:paraId="77CC52CC" w14:textId="77777777" w:rsidR="009E4A2A" w:rsidRDefault="009E4A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4142" w14:textId="77777777" w:rsidR="009E4A2A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Canva.com</w:t>
            </w:r>
          </w:p>
          <w:p w14:paraId="03818993" w14:textId="77777777" w:rsidR="009E4A2A" w:rsidRDefault="009E4A2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905239E" w14:textId="77777777" w:rsidR="009E4A2A" w:rsidRDefault="009E4A2A">
      <w:pPr>
        <w:rPr>
          <w:sz w:val="24"/>
          <w:szCs w:val="24"/>
        </w:rPr>
      </w:pPr>
    </w:p>
    <w:p w14:paraId="1534321A" w14:textId="77777777" w:rsidR="009E4A2A" w:rsidRDefault="009E4A2A">
      <w:pPr>
        <w:rPr>
          <w:sz w:val="24"/>
          <w:szCs w:val="24"/>
        </w:rPr>
      </w:pPr>
    </w:p>
    <w:p w14:paraId="0E72D0C9" w14:textId="77777777" w:rsidR="009E4A2A" w:rsidRDefault="009E4A2A">
      <w:pPr>
        <w:rPr>
          <w:sz w:val="24"/>
          <w:szCs w:val="24"/>
        </w:rPr>
      </w:pPr>
    </w:p>
    <w:sectPr w:rsidR="009E4A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052"/>
    <w:multiLevelType w:val="multilevel"/>
    <w:tmpl w:val="7A7EB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E54587"/>
    <w:multiLevelType w:val="multilevel"/>
    <w:tmpl w:val="2BAE13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6858F0"/>
    <w:multiLevelType w:val="multilevel"/>
    <w:tmpl w:val="83049F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72649CB"/>
    <w:multiLevelType w:val="multilevel"/>
    <w:tmpl w:val="844CD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122FF5"/>
    <w:multiLevelType w:val="multilevel"/>
    <w:tmpl w:val="E86CF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9B31C9"/>
    <w:multiLevelType w:val="multilevel"/>
    <w:tmpl w:val="77B24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447A98"/>
    <w:multiLevelType w:val="multilevel"/>
    <w:tmpl w:val="DD0A7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FB56D6E"/>
    <w:multiLevelType w:val="multilevel"/>
    <w:tmpl w:val="B6CC1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1B491E"/>
    <w:multiLevelType w:val="multilevel"/>
    <w:tmpl w:val="6C625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89734B5"/>
    <w:multiLevelType w:val="multilevel"/>
    <w:tmpl w:val="890C1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FF30BD"/>
    <w:multiLevelType w:val="multilevel"/>
    <w:tmpl w:val="2248AC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403F7A88"/>
    <w:multiLevelType w:val="multilevel"/>
    <w:tmpl w:val="F50A3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3B707C"/>
    <w:multiLevelType w:val="multilevel"/>
    <w:tmpl w:val="2B0CE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C116B7"/>
    <w:multiLevelType w:val="multilevel"/>
    <w:tmpl w:val="1EE23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BC3E84"/>
    <w:multiLevelType w:val="multilevel"/>
    <w:tmpl w:val="FF0C2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8E1EBF"/>
    <w:multiLevelType w:val="multilevel"/>
    <w:tmpl w:val="5D561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1D60814"/>
    <w:multiLevelType w:val="multilevel"/>
    <w:tmpl w:val="34A40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5C4E4E"/>
    <w:multiLevelType w:val="multilevel"/>
    <w:tmpl w:val="AB1A8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3068382">
    <w:abstractNumId w:val="8"/>
  </w:num>
  <w:num w:numId="2" w16cid:durableId="113058842">
    <w:abstractNumId w:val="17"/>
  </w:num>
  <w:num w:numId="3" w16cid:durableId="517938082">
    <w:abstractNumId w:val="7"/>
  </w:num>
  <w:num w:numId="4" w16cid:durableId="553002589">
    <w:abstractNumId w:val="1"/>
  </w:num>
  <w:num w:numId="5" w16cid:durableId="630214404">
    <w:abstractNumId w:val="5"/>
  </w:num>
  <w:num w:numId="6" w16cid:durableId="1247954360">
    <w:abstractNumId w:val="6"/>
  </w:num>
  <w:num w:numId="7" w16cid:durableId="2013338941">
    <w:abstractNumId w:val="11"/>
  </w:num>
  <w:num w:numId="8" w16cid:durableId="833301527">
    <w:abstractNumId w:val="2"/>
  </w:num>
  <w:num w:numId="9" w16cid:durableId="459804839">
    <w:abstractNumId w:val="10"/>
  </w:num>
  <w:num w:numId="10" w16cid:durableId="1421414473">
    <w:abstractNumId w:val="12"/>
  </w:num>
  <w:num w:numId="11" w16cid:durableId="724108083">
    <w:abstractNumId w:val="15"/>
  </w:num>
  <w:num w:numId="12" w16cid:durableId="356203505">
    <w:abstractNumId w:val="0"/>
  </w:num>
  <w:num w:numId="13" w16cid:durableId="1102728198">
    <w:abstractNumId w:val="3"/>
  </w:num>
  <w:num w:numId="14" w16cid:durableId="1221012886">
    <w:abstractNumId w:val="9"/>
  </w:num>
  <w:num w:numId="15" w16cid:durableId="1400594685">
    <w:abstractNumId w:val="4"/>
  </w:num>
  <w:num w:numId="16" w16cid:durableId="64646583">
    <w:abstractNumId w:val="13"/>
  </w:num>
  <w:num w:numId="17" w16cid:durableId="1334801684">
    <w:abstractNumId w:val="16"/>
  </w:num>
  <w:num w:numId="18" w16cid:durableId="2040277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2A"/>
    <w:rsid w:val="000634E6"/>
    <w:rsid w:val="009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5FB8"/>
  <w15:docId w15:val="{3EE1C31E-B6ED-4DC1-AE07-67C2F24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WX12AsUQkkPQChs8" TargetMode="External"/><Relationship Id="rId13" Type="http://schemas.openxmlformats.org/officeDocument/2006/relationships/hyperlink" Target="https://drive.google.com/drive/folders/1rD1OsZxDtFaSuomMMO1utFhu-6gjj7sF?usp=sharing" TargetMode="External"/><Relationship Id="rId18" Type="http://schemas.openxmlformats.org/officeDocument/2006/relationships/hyperlink" Target="https://drive.google.com/drive/folders/1rD1OsZxDtFaSuomMMO1utFhu-6gjj7sF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WX12AsUQkkPQChs8" TargetMode="External"/><Relationship Id="rId12" Type="http://schemas.openxmlformats.org/officeDocument/2006/relationships/hyperlink" Target="https://drive.google.com/file/d/1OvUGNeJVB8du--L3MVXZkSuUaDaQ0c85/view?usp=sharing" TargetMode="External"/><Relationship Id="rId17" Type="http://schemas.openxmlformats.org/officeDocument/2006/relationships/hyperlink" Target="http://www.citadelstemcenter.org/lesson-3-inspiring-chang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OvUGNeJVB8du--L3MVXZkSuUaDaQ0c85/view?usp=shari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CCRA/SL/4/" TargetMode="External"/><Relationship Id="rId11" Type="http://schemas.openxmlformats.org/officeDocument/2006/relationships/hyperlink" Target="https://www.youtube.com/watch?v=eSU0JbxWpoc" TargetMode="External"/><Relationship Id="rId5" Type="http://schemas.openxmlformats.org/officeDocument/2006/relationships/hyperlink" Target="http://www.corestandards.org/ELA-Literacy/CCRA/SL/2/" TargetMode="External"/><Relationship Id="rId15" Type="http://schemas.openxmlformats.org/officeDocument/2006/relationships/hyperlink" Target="http://www.citadelstemcenter.org/lesson-3-inspiring-change.html" TargetMode="External"/><Relationship Id="rId10" Type="http://schemas.openxmlformats.org/officeDocument/2006/relationships/hyperlink" Target="http://www.citadelstemcenter.org/lesson-3-inspiring-chang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j10JicJzby3ASJi1I_PsGNP1nZPt353E8hUV4aTNh2s/edit?usp=sharing" TargetMode="External"/><Relationship Id="rId14" Type="http://schemas.openxmlformats.org/officeDocument/2006/relationships/hyperlink" Target="https://docs.google.com/presentation/d/1j10JicJzby3ASJi1I_PsGNP1nZPt353E8hUV4aTNh2s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Dangerfield</dc:creator>
  <cp:lastModifiedBy>Zoe Dangerfield</cp:lastModifiedBy>
  <cp:revision>2</cp:revision>
  <dcterms:created xsi:type="dcterms:W3CDTF">2024-02-15T15:31:00Z</dcterms:created>
  <dcterms:modified xsi:type="dcterms:W3CDTF">2024-02-15T15:31:00Z</dcterms:modified>
</cp:coreProperties>
</file>